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Зеленченков С.В. обратился в суд с заявлением о взыскании с должника 212 727 рублей 27 копеек вознаграждения за осуществление полномочий конкурсного управляющего должником в период с 21.12.2010 по 25.07.2011. Определением Арбитражного суда Волгоградской области от 31.07.2020, оставленным без изменения постановлениями Двенадцатого арбитражного апелляционного суда от 15.09.2020 и Арбитражного суда Поволжского округа от 10.12.2020, заявление удовлетворено в части взыскания с должника в пользу заявителя 10 000 рублей вознаграждения за процедуру конкурсного производства. В удовлетворении остальной части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Волгоградской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20.6 и 59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применительно к конкретным фактическим обстоятельствам, обусловленным фактами ненадлежащего исполнения заявителем возложенных на него обязанностей конкурсного управляющего должником, пришли к выводу о необходимости снижения суммы фиксированного вознаграждения управляющего.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Зеленченкову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