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казенное учреждение Ленинградской области «Управление автомобильных дорог Ленинградской области» (далее – учреждение) обратилось в Арбитражный суд города Санкт-Петербурга и Ленинградской области с иском о взыскании с общества с ограниченной ответственностью «БТИ, землеустройство, оценка» (далее – общество) 531 261 рублей 66 копеек неустойки по государственному контракту от 15.10.2015 № 0094, а общество, в свою очередь, заявило встречный иск о взыскании с учреждения 563 998 рублей 80 копеек неосновательного обогащения – стоимость по 1 и 4 этапам работ, 295 278 рублей 72 копеек убытков от выполнения 2 этапа работ, 93 999 рублей 80 копеек штрафа, 168 521 рублей 34 копеек процентов за пользование чужими денежными средствами за период с 25.05.2016 по 16.01.2020 и процентов за пользование чужими денежными средствами, начисленными на сумму неосновательного обогащения за период с 17.01.2020 по дату фактического исполнения обязательства исходя из ключевой ставки Банка России, действующей в соответствующие периоды. Решением Арбитражного суда города Санкт-Петербурга и Ленинградской области от 20.02.2020, оставленным без изменения постановлением Тринадцатого арбитражного апелляционного суда от 27.05.2020, требования учреждения удовлетворены в полном объеме, в удовлетворении встречных требований обществу отказано. Арбитражный суд Северо-Западного округа постановлением от 17.11.2020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 и направить дело на новое рассмотрение в суд первой инстанции.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3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доказательства, проанализировав условия заключенного между учреждением (заказчик) и обществом (подрядчик) государственного контракта от 15.10.2015 № 0094 и соглашения от 24.05.2016 о расторжении контракта, которым признаны неисполненными в полном объеме обязательства подрядчика по контракту и установлено отсутствие обязанности заказчика по оплате выполненных работ; установив обстоятельства, связанные с действиями сторон по исполнению контракта, в том числе выполнение обществом работ по 1 и 4 этапам не в полном объеме и с недостатками, что послужило основанием для отказа учреждения от их принятия, и без выполнения которых невозможно выполнить работы по 2 этапу; учитывая результаты судебной экспертизы объемов и стоимости фактически выполненных работ, суды признали правомерными требования учреждения о начислении обществу спорной неустойки, размер которой проверен судами и признан правильным. Оснований для удовлетворения встречных требований общества суды не установили с учетом указанных обстоятельств, а также с учетом пропуска обществом срока давности.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руководствуясь положениями Гражданского кодекса Российской Федерации, суды удовлетворили требования учреждения, не установив оснований для применения положений статьи 333 Гражданского кодекса Российской Федерации. В удовлетворении встречных требований общества суды отказали. Обжалуя судебные акты в Верховный Суд Российской Федерации, общество приводит доводы, которые являлись предметом рассмотрения судов и получили надлежащую правовую оценку с учетом установленных обстоятельств дела, связанных с условиями контракта, действиями сторон по его исполнению и обстоятельств, послуживших основанием для его расторжения. Как указал суд округа, о проведении повторной или дополнительной экспертизы общество не заявляло, против вызова эксперта для дачи пояснений возражало, в связи с чем в силу части 2 статьи 9 Арбитражного процессуального кодекса Российской Федерации самостоятельно несет риск 4 наступления последствий совершения или несовершения им процессуальных действий.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Изложенные в жалобе доводы общества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