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обратилась в суд с заявлением о признании недействительными торгов по продаже имущественного комплекса должника (лот № 1) посредством публичного предложения, выигранных согласно сообщению о результатах торгов от 08.08.2018 обществом с ограниченной ответственностью Юридическая фирма «Энергоконсалт». Определением Арбитражного суда Иркутской области от 11.02.2020, оставленным без изменения постановлениями Четвёртого арбитражного апелляционного суда от 19.08.2020 и Арбитражного суда Восточно-Сибирского округа от 29.10.2020,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Иркутской области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пояснений заявителя таких оснований не установлено. Разрешая спор, суды, руководствуясь статьями 447, 449 Гражданского кодекса Российской Федерации, статьями 110, 112, 139 Федерального закона от 26.10.2002 № 127-ФЗ «О несостоятельности (банкротстве)», пунктами 1, 2, 5 информационного письма Президиума Высшего Арбитражного Суда Российской Федерации от 22.12.2005 № 101 «Обзор практики разрешения арбитражными судами дел, связанных с признанием недействительными публичных торгов, проводимых в рамках исполнительного производства», исходили из недоказанности нарушения оспариваемыми торгами прав и охраняемых законом интересов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Санкиной Юлии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