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«Керхер» (далее – общество) обратилось в суд с заявлением о включении в реестр требований кредиторов должника (далее – реестр) 1 920 608 рублей 28 копеек основного долга и 372 040 рублей 15 копеек неустойки. Определением Арбитражного суда города Москвы от 16.06.2020, оставленным без изменения постановлениями Девятого арбитражного апелляционного суда от 09.09.2020 и Арбитражного суда Московского округа от 19.11.2020,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по рассмотрению обоснованности заявления общества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486, 516, 779, 781 Гражданского кодекса Российской Федерации,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реальность сложившихся между сторонами правоотношений по поставке оборудования и само требование подтверждены документально, последнее заявлено в установленный законом срок и не исполнено должником, в связи с чем, пришли к выводам об обоснованности и наличии оснований для его включения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«ЭлектроСетьИнвест»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