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20.12.2019 в отношении должника введена процедура наблюдения, утверждён временный управляющий, признано обоснованным и подлежащим включению в третью очередь реестра требований кредиторов должника требование общества с ограниченной ответственностью «НПО «Ингазтех» в сумме 51 933 785 рублей 12 копеек. Не согласившись с названным судебным актом, общество обжаловало его в апелляционном порядке. Определением Семнадцатого арбитражного апелляционного суда от 16.09.2020, оставленным без изменения постановлением Арбитражного суда Уральского округа от 10.11.2020, производство по апелляционной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и восстановить срок на подачу апелляционной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117, 150, 259, 271 Арбитражного процессуального кодекса Российской Федерации, исходил из недоказанности уважительности причин пропуска процессуального срока на обжалование судебного акта обществом, осведомленным о введении процедуры наблюдения, имевшим реальную возможность получить статус кредитора в более ранний срок для целей подачи возражений на требования иных кредиторов, однако не проявившим должной степени заботливости и осмотрительности для соблюдения процессуального порядка обжалования судебного акта. Проверяя обоснованность прекращения производства по апелляционной жалобе, суд округа не установил нарушений норм процессуального права, согласился с указанными выводами апелляционного суда и отклонил возражения заявителя.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«Пергам-Инжиниринг»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