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обратилась в суд с жалобой на действия (бездействие) арбитражного управляющего Ишкова Антона Алексеевича. Определением Арбитражного суда города Москвы от 22.05.2020, оставленным без изменения постановлениями Девятого арбитражного апелляционного суда от 22.07.2020 и Арбитражного суда Московского округа от 30.10.2020, в удовлетворении жалобы отказано. В кассационной жалобе, поданной в Верховный Суд Российской Федерации, заявитель просит отменить судебные акты и направить дело на новое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129 Федерального закона от 26.10.2002 № 127-ФЗ «О несостоятельности (банкротстве)», исходили из отсутствия оснований для удовлетворения жалобы на действия (бездействие) арбитражного управляющего (непредставление доказательств гарантированной реализации по начальной цене имущества должника в случае выставления его на продажу отдельными лотами кредитором, располагавшей сведениями о составе лотов и возможностью обращения с претензиями, предложениями либо замечаниями касательно их формирования и процедуры реализации), в связи с чем отказали в удовлетворении заявленных требований.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Гнусаревой Элеоноре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