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«Регионпромсервис» (далее – общество) обратилось в суд с заявлением о включении в реестр требований кредиторов должника 34 529 206 рублей 90 копеек основного долга, 2 796 193 рублей 77 копеек процентов и 6 589 465 рублей 33 копеек пени. Определением Арбитражного суда Ростовской области от 21.07.2020, оставленным без изменения постановлениями Пятнадцатого арбитражного апелляционного суда от 13.10.2020 и Арбитражного суда Северо-Кавказского округа от 10.12.2020,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 в очерёдности, предшествующей распределению ликвидационной квоты.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пунктами 24,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вытекающее из частично исполненного должником и реального обязательства требование общества подтверждено документально, заявлено в установленный законом срок и не погашено, в связи с чем, пришли к выводам об обоснованности и наличии оснований для его включения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«Новочеркасский завод сварочных электродов» Ежову Дмитрию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