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«Промстройресурс» (далее – общество) обратилось в суд с заявлением о включении в реестр требований кредиторов должника его требований в размере 199 554 705 рублей 31 копейки. Определением Арбитражного суда города Москвы от 28.08.2019, оставленным без изменения постановлениями Девятого арбитражного апелляционного суда от 13.11.2019 и Арбитражного суда Московского округа от 03.02.2020,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363 , 506 , 516 , 807 Гражданского кодекса Российской Федерации, статьями 19,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35«О некоторых процессуальных вопросах, связанных с рассмотрением дел о банкротстве», исходили из доказанности факта возникновения на стороне должника как поручителя и единственного участника организации (заёмщика, покупателя) обязательств перед обществом, и, как следствие, оснований для включения обоснованных и документально подтверждённых требований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"Банк Интеза" (подробнее) АО "Газпромбанк" (подробнее) К/у ООО КБ "Агросоюз" - ГК "АСВ" (подробнее) ООО "ИНТЭК-М" (подробнее) ООО Коммерческий банк "Агросоюз" (подробнее) ООО "Технология" (подробнее) ООО "УМ-Банк" (подробнее) ПАО НАЦИОНАЛЬНЫЙ БАНК "ТРАСТ" (подробнее) ПАО "Совкомбанк" (подробнее) Иные лица: Ассоциация СРО АУ Стратегия (подробнее) ГУ Центр адресно-справочной работы УВМ МВД России по г.Москве (подробнее) Судьи дела: Корнелюк Е.С. (судья) (подробнее) Судебная практика по: По договору поставки Судебная практика по применению норм ст. 506, 507 ГК РФ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