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обратилась в суд с заявлением о взыскании судебных расходов с арбитражного управляющего Просвирина Георгия Юрьевича в размере 115 343 рублей. Определением Арбитражного суда Московской области от 03.02.2020, оставленным без изменения постановлениями Десятого арбитражного апелляционного суда от 19.05.2020 и Арбитражного суда Московского округа от 09.11.2020,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заявление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101, 106, 110 Арбитражного процессуального кодекса Российской Федерации, статьями 20.7, 137, 142 Федерального закона от 26.10.2002 № 127-ФЗ «О несостоятельности (банкротстве)», исходили из того, что понесённые предпринимателем судебные расходы подлежат возмещению не за счёт арбитражного управляющего, а за счет конкурной массы, отказав в удовлетворении заявления в связи с погашением спорных требований в результате завершения процедуры конкурсного производства.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Тиминой Ирине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