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А41-44031/2019 и просит о приостановлении исполнения решения по нему, ссылаясь на невозможность в связи с нахождением взыскателя в состоянии банкротства поворота исполнения в случае отмены решения и негативные финансовые последствия от извлечения из оборота спорной суммы. Суд не усматривает условий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«ЩЕЛКОВО АГРОХИМ» в приостановлении исполнения решения Арбитражного суда Московской области от 05.03.2020 по делу № А41-44031/2019.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