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04.02.2020, оставленным без изменения постановлением Девятого арбитражного апелляционного суда от 28.07.2020 и постановлением Арбитражного суда Московского округа от 28.10.2020,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Как следует из судебных актов, требования компании (субподрядчик) мотивированы тем, что общество (подрядчик) не исполнило обязательства по оплате работ, выполненных субподрядчиком в рамках договоров от 23.01.2019 № 8/012019, от 30.01.2019 № 9/012019, от 12.02.2019 № 10/022019, от 12.02.2019 № 11/022019 (далее – договоры).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выполнения компанией работ по договорам, направления ею в адрес общества документов, необходимых для приемки и оплаты работ, отсутствие мотивированного отказа последнего от их приемки, руководствуясь статьями 309, 310, 395, 702, 740, 746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требований. С выводами судов первой и апелляционной инстанций впоследствии согласился суд округа.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3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«Трест Гидромонтаж»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