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10.04.2020, оставленным без изменения постановлением Девятого арбитражного апелляционного суда от 22.09.2020, в удовлетворении иска отказано. Арбитражный суд Московского округа постановлением от 15.12.2020 решение от 10.04.2020 и постановление Девятого арбитражного апелляционного суда от 22.09.2020 оставил без изменения. В кассационной жалобе предприниматель просит об отмене судебных актов как не основанных на доказательствах и нормах об осуществлении расчетных операций.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право банка на применение оспариваемого ограничения возникло из договора на расчетно-кассовое обслуживание при установленном наличии признаков сомнительности проводимых предпринимателем операций, определенных на основании критериев Федерального закона от 07.08.2001 № 115-ФЗ «О противодействии легализации (отмыванию) доходов, полученных преступным путем, и финансированию терроризма» и нормативных документов Банка России. Иная оценка заявителем расчетных операций, заложенная в доводах жалобы,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Коротину М.В.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