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21.02.2020, оставленным без изменения постановлением Пятнадцатого арбитражного апелляционного суда от 24.07.2020, по первоначальному иску взыскано 190 929 рублей 66 копеек неосновательного обогащения, 12 025 рублей 99 копеек процентов за пользование чужими денежными средствами за период с 29.12.2018 по 20.11.2019 и процентов с 21.11.2019 по день фактической оплаты долга, в удовлетворении встречного иска отказано. Арбитражный суд Северо-Кавказского округа постановлением от 16.11.2020 решение от 21.02.2020 и постановление Пятнадцатого арбитражного апелляционного суда от 24.07.2020 оставил без изменения. В кассационной жалобе предприниматель просит об отмене судебных актов, ссылаясь на неправильную оценку доказательств исполнения обязательства по поставке в полном объеме, непроявление судом инициативы в назначении экспертизы и непривлечение к участию в деле заинтересованных лиц.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Наличие у сторон встречных долгов в связи с исполнением договора поставки от 29.09.2017 № 01-29/17 определено судами исходя из фактического объема грузов, задействованных в строительстве объекта, для которого грузы предназначались, отраженного в документах, исходящих от незаинтересованных лиц. Исследованные доказательства признаны судами относимыми и достаточными в соответствии со статьями 64 , 67 , 71 Арбитражного процессуального кодекса Российской Федерации. Обстоятельства, связанные с доказыванием и оценкой доказательств,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Ответчики: ИП Беджанян Саркис Гегамович (подробнее) ООО "Армстрой"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