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инвестгазификация» обратилось в Верховный Суд Российской Федерации с кассационной жалобой на постановление Арбитражного суда Северо-Западного округа от 17.12.2020 по делу № А56-118756/2019 Арбитражного суда города Санкт-Петербурга и Ленинградской области,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«Газпром инвестгазификация» о восстановлении пропущенного срока подачи кассационной жалобы удовлетворить. Срок подачи кассационной жалобы на постановление Арбитражного суда Северо-Западного округа от 17.12.2020 по делу № А56-118756/2019 Арбитражного суда города Санкт-Петербурга и Ленинградской области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