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Московской области от 18.02.2020, постановление Десятого арбитражного апелляционного суда от 19.08.2020 и постановление Арбитражного суда Московского округа от 24.11.2020 по делу № А41-81015/2018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