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21.07.2020, оставленным без изменения постановлением Девятнадцатого арбитражного апелляционного суда от 06.10.2020 и постановлением Арбитражного суда Центрального округа от 15.12.2020, взыскано 6 478 841 рубль 52 копейки долга и 514 979 рублей 15 копеек процентов за пользование чужими денежными средствами. В кассационной жалобе общество «Деловые поставки» просит об отмене судебных актов как основанных на недопустимых доказательствах и неисследованных обстоятельствах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наличие задолженности подтверждено актами сверки сторон, подписанными от имени ответчика уполномоченным лицом. Получение товара и его надлежащее качество установлены в делах №№ А40-278563/2018 и А40-101984/2018 Арбитражного суда города Москвы. Таким образом, иск удовлетворен в соответствии со статьями 395, 506, 516 Гражданского кодекса Российской Федерации. С общества «Деловые поставки» подлежит взысканию государственная пошлины за подачу кассационной жалобы, отсрочка уплаты которой ему была предоставлена.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«Деловые поставки»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«Деловые поставки» в доход федерального бюджета 3 000 (три тысячи) рублей государственной пошлины за подачу кассационной жалобы. Поручить Арбитражному суду Воронежской области выдать исполнительный лист на взыскание государственной пошлины.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