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Астраханской области от 11.07.2019 с общества в пользу предпринимателя взыскано 227 953 руб. и 5314 руб. судебных расходов, в удовлетворении остальной части исковых требований отказано. Постановлением Двенадцатого арбитражного апелляционного суда от 22.06.2020 решение суда первой инстанции изменено, с общества в пользу предпринимателя взыскано 255 340 руб., 23 000 руб. расходов по оплате независимой экспертизы, в удовлетворении остальной части исковых требований отказано. 2 Постановлением Арбитражного суда Поволжского округа от 30.09.2020 постановление суда апелляционной инстанции оставлено без изменения. В кассационной жалобе, поданной в Верховный Суд Российской Федерации, предприниматель, ссылаясь на нарушение судами норм материального и процессуального права, просит отменить указанные судебные акты и принять новый судебный акт об удовлетворении исковых требований в полном объеме.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принятых по делу судебных актов и доводов кассационной жалобы не установлено. Как следует из судебных актов, требования предпринимателя (арендатор) мотивированы возникновением у него ущерба по вине общества (арендодатель и собственник здания), не обеспечившего надлежащее исполнение обязанности по содержанию объекта недвижимости. Суд апелляционной инстанции, руководствуясь статьями 15, 210, 614, 1064 Гражданского кодекса Российской Федерации, положениями Градостроительного кодекса Российской Федерации, разъяснениями, приведенными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пришел к выводу о наличии совокупности условий, необходимых для возложения на ответчика ответственности по возмещению ущерба в виде стоимости поврежденного (непригодного к использованию) имущества истца (в определенном заключением судебной экспертизы размере), а также в виде затрат истца на оплату досудебной экспертизы, признав необоснованными требования последнего в остальной части ввиду их недоказанности. С указанными выводами впоследствии согласился суд округа.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Егорычева Ильи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