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16.03.2020, оставленным без изменения постановлением Семнадцатого арбитражного апелляционного суда от 02.07.2020, в удовлетворении иска отказано вследствие отсутствия обоюдной вины сторон в причинении вреда. Арбитражный суд Уральского округа постановлением от 16.10.2020 решение от 16.03.2020 и постановление Семнадцатого арбитражного апелляционного суда от 02.07.2020 оставил без изменения. В кассационной жалобе общество просит об отмене судебных актов, ссылаясь на солидарную ответственность владельцев транспортных средств за 2 совместно причиненный вред и отсутствие законных оснований для освобождения ответчика от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правилам статьи 1079 Гражданского кодекса Российской Федерации солидарные должники отвечают перед потерпевшим. Правила пункта 2 статьи 325 Гражданского кодекса Российской Федерации применяются при исполнении солидарной обязанности одним из должников, если иное не вытекает из отношений между ними. В отношениях вследствие причинения вреда между солидарными должниками действуют общие условия (статья 1064 Гражданского кодекса Российской Федерации), предусматривающие ответственность за вину. Вина работника общества в причинении вреда установлена, поэтому оно возместило свой вред и не вправе требовать переложения убытков на ответчика.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трансгаз Чайковский»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