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 Полина Александровна обратилась в Арбитражный суд города Москвы с иском к Шертману Юрию Владимировичу об исключении ответчика из состава участников общества с ограниченной ответственностью «Енисей» (далее – Общество). К участию в деле в качестве третьих лиц, не заявляющих самостоятельных требований относительно предмета спора, привлечены Завьялов Владимир Алексеевич, Савкин Сергей Александрович, Общество и общество с ограниченной ответственностью «Сосна» (далее – Компания). В порядке статьи 132 Арбитражного процессуального кодекса Российской Федерации (далее – АПК РФ) к производству суда принято встречное заявление Шертмана Ю.В. об исключении Те П.А. из состава участников Общества. Вступившим в законную силу решением Арбитражного суда города Москвы от 28.06.2019 первоначальный иск удовлетворен, в удовлетворении встречных требований отказано. 2 Савкин С.А. и Те П.А. 30.04.2020 обратились в арбитражный суд с заявлением о взыскании с ответчика и третьих лиц судебных расходов. Определением Арбитражного суда города Москвы от 02.07.2020, оставленным без изменения постановлением Девятого арбитражного апелляционного суда от 14.10.2020 и постановлением Арбитражного суда Московского округа от 17.12.2020, заявление Те П.А. удовлетворено: с Шертмана Ю.В. взыскано 300 000 рублей расходов на оплату услуг представителя, с Компании 150 000 рублей расходов на оплату услуг представителя, с Завьялова В.А. 100 000 рублей расходов на оплату услуг представителя. В кассационных жалобах, поданных в Верховный Суд Российской Федерации, заявители просят отменить состоявшиеся судебные акты о взыскании судебных расходов, ссылаясь на существенное нарушение судами норм материального и процессуального права. В обоснование доводов жалоб заявители указывают, что суды взыскали судебные расходы без учета участия в деле в качестве третьего лица Общества; судом апелляционной инстанции необоснованно отклонено ходатайство об отложении судебного заседания; истец не представил надлежащие первичные документы, подтверждающие факт несения расходов.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удовлетворили требования, исходя из принципов обоснованности, объективной необходимости, оправданности, разумности. С учетом процессуального поведения Общества, суды не усмотрели оснований для отнесения на данное юридическое лицо судебных расходов. Доводы кассационных жалоб, не свидетельствуют о допущенных судами нарушениях норм материального и процессуального права, которые бы 3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Шертмана Юрия Владимировича, Завьялова Владимира Алексеевича, общества с ограниченной ответственностью «Сосна»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