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03.03.2020, оставленным без изменения постановлением Семнадцатого арбитражного апелляционного суда от 22.06.2020 и постановлением Арбитражного суда Уральского округа от 03.11.2020, в удовлетворении иска отказано. В кассационной жалобе товарищество просит отменить судебные акты вследствие неверного вывода судов об изменения условий договора конклюдентными действиями сторон.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необходимые для применения ответственности за нарушение контракта от 08.02.2018 № 18/98, суды признали отсутствующими в пределах компетенции и требование изменения оценки исполнения контракта, соответствующей закону и поведению сторон, не создает оснований для к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 ограниченной ответственностью «Кайнар-АКБ»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