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27.11.2019, оставленным без изменения постановлением Тринадцатого арбитражного апелляционного суда от 02.07.2020 и постановлением Арбитражного суда Северо-Западного округа от 12.10.2020, иск удовлетворен частично. В кассационной жалобе завод «Раздолье» просит о пересмотре судебных актов как не соответствующих договору и обстоятельствам его исполнения.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задолженности исходя из фактически выбранного истцом объема предварительно оплаченного в большем объеме товара, что не противоречит договору купли-продажи от 11.01.2019 № 11/01/19 и статье 506 Гражданского кодекса Российской Федерации. Доводы кассационной жалобы не подтверждают нарушения норм права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«Племенной завод «Раздолье»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