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28.05.2020, оставленным без изменения постановлением Пятнадцатого арбитражного апелляционного суда от 10.08.2020, в удовлетворении иска отказано. Постановлением Арбитражного суда Северо-Кавказского округа от 27.11.2020 решение и постановление апелляционного суда отменены, дело направлено на новое рассмотрение в суд первой инстанции. В кассационной жалобе предприниматель просит об отмене постановления окружного суда, ссылаясь на установление нижестоящими судами его непричастности к порче груза.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суды первой и апелляционной инстанций в противоречие со статьей 796 Гражданского кодекса Российской Федерации возложили бремя доказывания вины перевозчика (предпринимателя) в порче груза на общество, не исследовали существенных для дела обстоятельств, поэтому в пределах предоставленных статьями 286, 287 Арбитражного процессуального кодекса Российской Федерации полномочий признал необходимость нового рассмотрения дела.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Супруну С.А.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