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Новгородской области от 28.05.2020, оставленным без изменения постановлением Четырнадцатого арбитражного апелляционного суда от 25.08.2020, иск удовлетворен. Арбитражный суд Северо-Западного округа постановлением от 07.12.2020 решение от 28.05.2020 и постановление Четырнадцатого арбитражного апелляционного суда от 25.08.2020 оставил без изменения. В кассационной жалобе предприниматель просит об отмене судебных актов вследствие предъявления иска к ненадлежащему ответчику и отсутствия у учреждения законных полномочий на взыскание убытков.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предприниматель в момент проведения весового контроля владел транспортным средством, на котором осуществлялась перевозка тяжеловесного груза, на праве собственности, вследствие чего иск о взыскании причиненных такой перевозкой убытков правомерно удовлетворен за его счет. Судами в связи с возражением предпринимателя установлено, что предъявлением рассматриваемого иска казенное учреждение осуществляет компетенцию, возложенную 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отношении находящейся в его оперативном управлении региональной дороги, на которой допущено вмененное предпринимателю нарушение. Иная оценка заявителем обстоятельств спора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Максимову А.А.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