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03.02.2020, оставленным без изменения постановлением Девятого арбитражного апелляционного суда от 02.07.2020, в удовлетворении иска отказано по мотиву несоблюдения истцом установленного договором порядка определения размера убытков. Арбитражный суд Московского округа постановлением от 19.10.2020 решение от 03.02.2020 и постановление Девятого арбитражного апелляционного суда от 02.07.2020 оставил без изменения. В кассационной жалобе общество «Айтитехсервис» просит об отмене судебных актов, ссылаясь на неосновательное признание его злоупотребившим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действиях истца по систематическому нарушению договорных обязательств суды в силу правомочий, предоставленных статьей 10 Гражданского кодекса Российской Федерации, усмотрели недобросовестность, влекущую отказ в судебной защите. Требуемый пересмотр компетенции судов в отношении оценки пределов осуществления гражданских прав на стадии кассационного производства не допускается.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«Айтитехсервис»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