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Верховный Суд Российской Федерации с кассационной жалобой на указанные судебные акты, одновременно заявив ходатайство об отсрочке уплаты государственной пошлины, мотивированное отсутствием у него денежных средств, необходимых для уплаты пошлины в установленном размере.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Поскольку представленные ФИО1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жалобы, ходатайство подлежит удовлетворению. Руководствуясь статьями 102 , 184 , 185 Арбитражного процессуального кодекса Российской Федерации, статьями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ФИО1 удовлетворить. Предоставить ФИО1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 Суд: Верховный Суд РФ (подробнее) Истцы: ООО Финансовая группа "Донсельмаш"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