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14.02.2020, оставленным без изменения постановлением Девятого арбитражного апелляционного суда от 13.07.2020 и постановлением Арбитражного суда Московского округа от 20.10.2020, иск удовлетворен частично. В кассационной жалобе общество просит об отмене судебных актов, ссылаясь на недостаточное уменьшение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Установление обстоятельств, влияющих на размер неустойки (статья 333 Гражданского кодекса Российской Федерации) в пределах данного дела, является компетенцией судов, рассматривающих дело по правилам для суда первой инстанции, и связанные с этими обстоятельствами доводы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«Научно-производственное объединение «Автоматизированные вычислительные 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