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18.03.2020, оставленным без изменения постановлением Семнадцатого арбитражного апелляционного суда от 23.06.2020, производство по делу в отношении разногласий по пункту 2.5. договора от 01.05.2019 № 120 прекращено в связи с отказом истца от иска; пункт 5.1.1 договора принят в редакции общества, остальные пункты – в редакции учреждения. Арбитражный суд Уральского округа постановлением от 19.10.2020 решение от 18.03.2020 и постановление Семнадцатого арбитражного апелляционного суда от 23.06.2020 оставил без изменения. В кассационной жалобе общество просит об отмене судебных актов, ссылаясь на отсутствие обоснования применения не обязательных для общества утвержденных учреждением расценок за охрану фактически одного объекта, разделение на рубежи которого в спорном случае является техническим.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сложившейся судебной практики применимая при наличии спора по обязательному для сторон договору цена подлежит экономическому обоснованию. Суды приняли экономическое обоснование взимания учреждением платы за каждый из двух охраняемых рубежей, не опровергнутое обществом, поэтому приняли спорные условия об оплате услуг в редакции учреждения.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«Рыцарь»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