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06.02.2020, оставленным без изменения постановлением Четвертого арбитражного апелляционного суда от 25.06.2020 и постановлением Арбитражного суда Восточно-Сибирского округа от 22.10.2020, исковые требования удовлетворены частично. В кассационной жалобе общество «Строительная инициатива» просит о пересмотре судебных актов, ссылаясь на отсутствие оценки наличия просрочки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330, 506 Гражданского кодекса Российской Федерации, суды по установленным фактам нарушения ответчиком сроков поставки товара по договору № 240815 от 24.08.2015 удовлетворили иск частично, уменьшив неустойку на основании статьи 333 Гражданского кодекса Российской Федерации. Суды рассмотрели довод заявителя о наличии просрочки кредитора и признали отсутствие доказательств таковой. Обстоятельства, влияющие на применение ответственности и ее размер, установлены судами в пределах компетенции и требование изменения их оценки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инициатива»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