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податель жалобы просит об отсрочке уплаты государственной пошлины, представляя сведения налогового органа об отсутствии расчетных счетов. Согласно статье 102 Арбитражного процессуального кодекса Российской Федерации и пункту 2 статьи 333.22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 Суд счел ходатайство подлежащим удовлетворению. Руководствуясь статьей 184 Арбитражного процессуального кодекса Российской Федерации, статьей 333.22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обществу с ограниченной ответственностью «Автоснаб» отсрочку уплаты государственной пошлины до окончания производства по поданной им кассационной жалобе. Судья Верховного Суда Н.А. Ксенофонтова Российской Федерации Суд: Верховный Суд РФ (подробнее) Истцы: ООО "АвтоСнаб" (подробнее) Ответчики: ООО "Таможенно Транспортный Терминал"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