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Тиминский Владимир Вениаминович обратился в суд с заявлением о включении в реестр требований кредиторов должника. Определением Арбитражного суда города Москвы от 03.07.2020, оставленным без изменения постановлениями Девятого арбитражного апелляционного суда от 16.09.2020 и Арбитражного суда Московского округа от 25.11.2020, требование Тиминского В.В. в размере 17 241 136 рублей 85 копеек признано обоснованным, подлежащим удовлетворению за счёт имущества должника, оставшегося после удовлетворения требований кредиторов, включённых в реестр.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пунктом 41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исходили из того, что основанное на факте состоявшегося правопреемства требование заявлено после закрытия реестра, в связи с чем подлежит удовлетворению за счёт имущества, оставшегося после удовлетворения требований реестровых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«Аркада»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