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17.12.2019 с общества в пользу департамента взыскано 330 000 руб. задолженности, 266 745 руб. 70 коп. неустойки, в удовлетворении остальной части исковых требований отказано. Постановлением Девятого арбитражного апелляционного суда от 25.06.2020 решение суда первой инстанции отменено; с общества в пользу департамента взыскано 102 366 руб. неустойки, в удовлетворении остальной части исковых требований отказано. Постановлением Арбитражного суда Московского округа от 20.11.2020 постановление суда апелляционной инстанции оставлено без изменения. В кассационной жалобе, поданной в Верховный Суд Российской Федерации, департамент, ссылаясь на то, что суды апелляционной инстанции 2 и округа нарушили нормы материального и процессуального права, неполно исследовали обстоятельства, имеющие значение для рассмотрения дела, просит отменить их постановления и направить дело на новое рассмотрение в суд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департамент и общество заключили договор, на основании которого последнему в целях возмещения затрат на уплату лизинговых платежей по договорам финансовой аренды (лизинга) предоставлена субсидия в размере 330 000 руб. Ссылаясь на ненадлежащее исполнение обществом условий договора, департамент направил ответчику претензию с требованием о возврате бюджетных средств. Неисполнение обществом претензии явилось основанием для обращения департамента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установил, что общество исполнило принятые по договору обязательства, но с просрочкой и, руководствуясь статьями 309, 310, 330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пришел к выводу об отсутствии оснований для удовлетворения требования департамента о возврате субсидии и обоснованности начисления им неустойки за период 01.11.2014 по 11.11.2015 и, уменьшив ее размер в соответствии со статьей 333 Гражданского кодекса Российской Федерации по ходатайству ответчика, взыскал с последнего в пользу департамента 102 366 руб. Суд округа согласился с выводами суда апелляционной инстанции, мотивированно отклонив доводы заявителя, в том числе о необоснованном снижении размера неустойки и приобщении к материалам дела дополнительных доказательств. Доводы кассационной жалобы не опровергают выводы судов апелляционной инстанции и округа и не подтверждают существенных нарушений судами норм материального и процессуального права, 3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предпринимательства и инновационного развития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