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23.01.2020, оставленным без изменения постановлением Девятого арбитражного апелляционного суда от 08.06.2020 и постановлением Арбитражного суда Московского округа от 22.10.2020, в удовлетворении иска отказано. В кассационной жалобе, поданной в Верховный Суд Российской Федерации, департамент, ссылаясь на нарушение судом округа норм процессуального права, просит отменить его постановление и прекратить производство по кассационной жалобе.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2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обжалуемого судебного акта и доводов кассационной жалобы не установлено. Исследовав и оценив представленные в материалы дела доказательства, суды первой и апелляционной инстанций пришли к выводу об отсутствии оснований для удовлетворения исковых требований департамента. То обстоятельство, что суд округа рассмотрел кассационную жалобу заявителя по существу и не прекратил по ней производство применительно к пункту 5 части 1 статьи 150 Арбитражного процессуального кодекса Российской Федерации в данном случае не привело к нарушению прав и законных интересов заявителя, в связи с чем основания для передачи жалобы на рассмотрение в судебном заседании отсутствуют. Учитывая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Департамента предпринимательства и инновационного развития города Москвы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