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заявитель обратилась в суд с заявлением об исключении из конкурсной массы должника пятнадцати объектов недвижимого имущества (нежилые помещения, административные здания). Определением Арбитражного суда Нижегородской области от 19.06.2020, оставленным без изменения постановлением Первого арбитражного апелляционного суда от 31.08.2020, заявление удовлетворено. Постановлением Арбитражного суда Волго-Вятского округа от 24.11.2020 вышеуказанные судебные акты отменены, дело направлено на новое рассмотрение в Арбитражный суд Нижегородской области.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и постановление апелляционного суда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Направляя дело на новое рассмотрение, суд округа, руководствуясь пунктами 26, 27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пунктом 16 Обзора судебной практики Верховного Суда Российской Федерации № 1 (2017), утверждённого Президиумом Верховного Суда Российской Федерации 16.02.2017, исходил из того, что изложенные в них выводы основаны на неполном выяснении фактических обстоятельств, имеющих существенное значение для правильного разрешения спора, в связи с чем признал их преждевременными.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При новом рассмотрении заявитель не лишён возможности изложить свои доводы со ссылками на нормы права и имеющиеся в деле доказательства, поскольку дело направлено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«РГС Недвижимость» Тутовой Кристине Сергеевне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