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Федотова Анна Валерьевна обратилась в суд с заявлением о включении в реестр требований кредиторов (далее – реестр) задолженности в размере 2 970 544 рублей 51 копейки. Определением Арбитражного суда города Москвы от 16.07.2020 требования признаны установленными в размере 2 821 000 рублей в счёт погашения облигаций, 126 606 рублей 48 копеек купонного дохода, 22 938 рублей 03 копеек расходов по оплате государственной пошлины и подлежащими учету в составе первой очереди третьей очереди реестра в порядке, предусмотренном статьёй 137 Федерального закона от 26.10.2002 № 127-ФЗ «О несостоятельности (банкротстве)» (далее – Закона о банкротстве). Постановлением Девятого арбитражного апелляционного суда от 11.09.2020, оставленным без изменения постановлениями Арбитражного суда Московского округа от 12.11.2020, вышеуказанное определение изменено. Требование в размере 2 970 544 рубля 51 копейки включено в первую очередь реестра.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или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 руководствовался статьями 71, 134, 137, 183.26, 189.6-1 Закона о банкротстве и исходил из того, требование подтверждено документально, обоснованно и подлежит включению в реестр. Изменяя принятое по спору определение, апелляционный суд установил, что задолженность по основному долгу имеет правовую природу заёмного обязательства, а по купонному доходу – процентов по займу, в связи с чем включил требование в первую очередь реестра. Суд округа согласился с выводами апелляционного суда.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