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Мкртчян Георгий Паруйрович обратился в суд с заявлением о включении в реестр требований кредиторов должника задолженности в размере 100 925 183 рублей 45 копеек. Определением Арбитражного суда Иркутской области от 03.12.2019, оставленным без изменения постановлениями Четвертого арбитражного апелляционного суда от 22.07.2020 и Арбитражного суда Восточно-Сибирского округа от 13.10.2020, отказано во включении требования в реестр. В кассационной жалобе, поданной в Верховный Суд Российской Федерации, заявитель просит отменить указанное постановление суда округа, направить обособленный спор на новое рассмотрение в Арбитражный суд Восточно-Сибирского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Оставляя без изменения определение суда первой инстанции и постановление апелляционного суда, суд округа, руководствуясь положениями статьи 10 Гражданского кодекса Российской Федерации, статьи 100 Федерального закона от 26.10.2002 № 127-ФЗ «О несостоятельности (банкротстве)», поддержав выводы судов об отсутствии оснований считать реальными отношения, положенные в основу настоящих требований, согласился выводами о том, что указанное требование является необоснованным и, как следствие, не подлежит включению в реестр.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«Дороги Сибири»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