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«Промсвязьбанк» (далее – банк) обратилось в суд с заявлением о включении его требований в реестр требований кредиторов должника (далее – реестр). Определением Арбитражного суда города Москвы от 12.02.2020, оставленным без изменения постановлениями Девятого арбитражного апелляционного суда от 09.09.2020 и Арбитражного суда Московского округа от 17.11.2020, требование банка в размере 323 234 417 рублей 22 копейки – основного долга, 10 914 696 рублей 42 копейки – процентов признаны обоснованными и включены в третью очередь реестра.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 и 100 Федерального закона от 26.10.2002 № 127-ФЗ «О несостоятельности (банкротстве)», установив реальность отношений, послуживших основанием для обращения банка с заявленными требованиями, пришли к выводу об их обоснованности и подтверждённости, что послужило основанием для включения требований в реестр требований кредиторов должника, указав на отсутствие доказательств погашения задолженности должником и недоказанность наличия оснований для понижения очерёдности требований.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заинтересованности должника и банка были предметом рассмотрения судов апелляционной инстанции и округа,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«Техносерв Консалтинг»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