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Межрайонная инспекция Федеральной налоговой службы №20 по Московской области обратилась в суд с заявлением о взыскании с конкурсного управляющего Шклярова А.А. убытков в размере 19 918 000 рублей. Определением Арбитражного суда Московской области от 04.02.2020, оставленным без изменения постановлениями Десятого арбитражного апелляционного суда от 10.08.2020 и Арбитражного суда Московского округа от 20.10.2020, заявление удовлетворено.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15 и пункта 2 статьи 401 Гражданского кодекса Российской Федерации, статьи 20.4 Федерального закона от 26.10.2002 № 127-ФЗ «О несостоятельности (банкротстве)», установив причинно-следственную связь между недобросовестными действиями Шклярова А.А. и возникновением убытков на стороне должника, пришли к выводу об обоснованности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Шклярову Александру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