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Налогового кодекса Российской Федерации.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2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Так, к документам, устанавливающим имущественное положение,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Заявителем представлены доказательства, свидетельствующие о невозможности исполнения обязанности по уплате государственной пошлины за рассмотрение кассационной жалобы, в связи с чем, ходатайство об отсрочке уплаты государственной пошлины подлежит удовлетворению. Учитывая изложенное и руководствуясь статьями 102, 184, 291.3 Арбитражного процессуального кодекса Российской Федерации, статьями 333.21, 333.22, 333.41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сельскохозяйственного производственного кооператива «Рассвет» об отсрочке уплаты государственной пошлины удовлетворить. Предоставить отсрочку уплаты государственной пошлины сроком до окончания производства по настоящей кассационной жалобе.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