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10.02.2020, оставленным без изменения постановлением Одиннадцатого арбитражного апелляционного суда от 06.07.2020 и постановлением Арбитражного суда Поволжского округа от 28.10.2020, иск удовлетворен. В кассационной жалобе завод просит об отмене судебных актов, ссылаясь на отсутствие условий для взыскания убытков, непризнания просрочки истца и злоупотребления им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кассационной жалобы не усматривается. Порядок определения расходов, подлежащих взысканию с продавца (ответчика) в связи с недопоставкой автокомпонентов, согласован сторонами в договоре от 25.11.2010 № 175369 (приложение 4), в соответствии с которым произведен расчет взыскиваемой суммы. Учитывая определение расходов расчетным путем, их размер не подлежал доказыванию в имевшем место случае недопоставки. Реализация истцом права на применение договорной ответственности не может быть отнесена к недобросовестным действиям. Условий для применения статьи 404 Гражданского кодекса Российской Федерации судами не установлено, установлена причинно-следственная связь убытков с действиями завода.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Автокомпонент»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