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Мордовия от 18.12.2019, оставленным без изменения постановлением Первого арбитражного апелляционного суда от 18.06.2020 и постановлением Арбитражного суда Волго-Вятского округа от 19.11.2020, в удовлетворении иска отказано. В кассационной жалобе общество «СоюзМеталл» просит отменить судебные акты, ссылаясь на ненадлежащую оценку доказательств поставки.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установлено. По итогу исследования и оценки обстоятельств исполнения договора поставки от 01.12.2018 № ЮР-01/216 суды установили отсутствие поставки истцом товара на спорную сумму, поэтому отказали в удовлетворении иска в соответствии со статьями 506, 516 Гражданского кодекса Российской Федерации. Иная оценка обстоятельств исполнения сторонами договора и ее обоснование не опровергает выводов судов, основанных на доказательствах, и не создает оснований для пересмотра судебных актов.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«СоюзМеталл»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