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24.03.2020, оставленным без изменения постановлением Девятого арбитражного апелляционного суда от 08.07.2020, взыскано 7 689 139 рублей 41 копейка неосновательного обогащения и 1 327 271 рубль 85 копеек процентов за пользование чужими денежными средствами за период с 29.08.2017 по 10.12.2019 и далее по день фактической оплаты. Арбитражный суд Московского округа постановлением от 10.11.2020 решение от 24.03.2020 и постановление Девятого арбитражного апелляционного суда от 08.07.2020 оставил без изменения. 2 В кассационной жалобе банк просит об отмене судебных актов вследствие выбора истцом ненадлежащего способа защиты в отношении исполненного по признанной судом недействительной сделке.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исходя жалобы не усматривается. В силу статьи 167 Гражданского кодекса Российской Федерации недействительная сделка недействительна с момента заключения и не влечет юридических последствий, за исключением тех, которые связаны с ее недействительностью. Удовлетворяя требование о взыскании неосновательного обогащения, суды обоснованно исходили из того, что оно представляет собой требование о возврате исполненного по недействительной сделке на основании статьи 1102 и пункта 1 статьи 1103 Гражданского кодекса Российской Федерации. Вопрос о конкуренции исков не влияет на обязанность возврата спорной суммы и не создает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