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30.10.2019 в удовлетворении заявленных требований отказано. 2 Постановлением Девятнадцатого арбитражного апелляционного суда от 23.06.2020 признано незаконным оспариваемое постановление административного органа от 30.10.2018 № АП 4-20/18 в части штрафа, превышающего 50 000 рублей, решение суда первой инстанции в указанной части отменено, в остальной части решение суда первой инстанции оставлено без изменения. Постановлением Арбитражного суда Центрального округа от 21.10.2020 постановление суда апелляционной инстанции в части отмены решения суда первой инстанции отменено, решение суда первой инстанции оставлено в указанной части в силе. Общество обратилось в Верховный Суд Российской Федерации с кассационной жалобой на принятые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антимонопольного органа выявлен факт заключения хозяйствующим субъектом недопустимого в соответствии с антимонопольным законодательством соглашения. 3 Выявленное нарушение послужило основанием для составления протокола и вынесения антимонопольным органом оспариваемого постановления о привлечении общества к ответственности по части 4 статьи 14.32 Кодекса Российской Федерации об административных правонарушениях. Руководствуясь положениями Федерального закона от 26.07.2006 № 135-ФЗ «О защите конкуренции», суд округа согласился с выводами антимонопольного органа и данной квалификацией правонарушения, признав, что действия по разделению закупок явились нарушением при выявленных судом первой инстанции признаков антиконкурентного сговора, который привел к ограничению конкуренции.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Доводы об истечении срока давности привлечения к административной ответственности на момент пересмотра постановления о привлечении к административной ответственности в суде являются несостоятельными исходя из разъяснений, содержащихся в абзаце 8 пункта 14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в соответствии с которыми указанное обстоятельство не влечет за собой отмену постановлений и прекращение производства по делу, если для этого отсутствуют иные основания. При этом следует иметь в виду, что течение срока давности привлечения к ответственности оканчивается фактом вынесения постановления административного органа о привлечении к административной ответственности. 4 Обстоятельств, свидетельствующих о возможности применения положений статьи 2.9 Кодекса Российской Федерации об административных правонарушениях, судами не выявлено. Доводы кассационной жалобы, в том числе относительно целесообразности деления закупок были предметом исследования судов первой и кассационной инстанций и получили исчерпывающую правовую оценку,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