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12.03.2020, оставленным без изменения постановлением Девятого арбитражного апелляционного суда от 08.07.2020, взыскано 28 778 490 рублей 24 копейки убытков и 830 633 рубля 95 копеек процентов за пользование чужими денежными средствами и процентов с 11.12.2019 по дату фактической оплаты исходя из размера ключевой ставки Центрального банка Российской Федерации, действующей в соответствующий период. Арбитражный суд Московского округа постановлением от 28.10.2020 решение от 12.03.2020 и постановление Девятого арбитражного апелляционного суда от 08.07.2020 оставил без изменения. В кассационной жалобе компания просит об отмене судебных актов, ссылаясь на несоответствие их статье 16 Арбитражного процессуального 2 кодекса Российской Федерации и неправомерное признание убытками спорной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руководствовались статьей 375.1 Гражданского кодекса Российской Федерации в качестве правового основания для взыскания с ответчика (бенефициара) денежных средств, выплаченных вследствие неосновательно предъявленного им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акционерной компании с ограниченной ответственностью «СиТер Инвест Би.Ви.»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