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06.03.2020, оставленным без изменения постановлением Девятого арбитражного апелляционного суда от 09.07.2020, в иске отказано. 2 Постановлением Арбитражного суда Московского округа от 28.10.2020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709, 711, 746, 1102 Гражданского кодекса Российской Федерации, суды в иске отказали, признав, что истец не доказал факт невыполнения ответчиком работ по государственному контракту на спорную сумму. Доводы жалобы были предметом исследования судов и получили исчерпывающую правовую оценку с учетом установленных обстоятельств, не согласиться с которыми оснований не имеется. Ссылка на судебную практику подлежит отклонению, поскольку по приведенным делам спор касался возникновения дефектов в пределах гарантийного срока в связи с некачественным выполнением работ, тогда как в настоящем деле таких обстоятельств суды не установили.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