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21.05.2020, оставленным без изменения постановлением Девятого арбитражного апелляционного суда от 30.07.2020, иск удовлетворен. Постановлением Арбитражного суда Московского округа от 11.11.2020 указанные судебные акты отменены, в иске отказано. Учреждение обратилось в Верховный Суд Российской Федерации с кассационной жалобой, в которой просит постановление суда округа отменить, считая его незаконным и необоснованным. Исходя из доводов жалобы и принятых по делу судебных актов оснований для удовлетворения жалобы не установлено. Отменяя состоявшиеся судебные акты, суд округа руководствовался положениями статей 309 , 310 , 329 , 330 , 457 , 506 Гражданского кодекса Российской Федерации,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 исходил из установленных судом обстоятельств, свидетельствующих о недоказанности учреждением наличия оснований для взыскания штрафа. Доводы кассационной жалобы подлежат отклонению исходя из заявленных учреждением при обращении с иском требований и установленных судами обстоятельств поставки части товара с нарушением срока.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ФГБУ "НАУЧНЫЙ ЦЕНТР ЭКСПЕРТИЗЫ СРЕДСТВ МЕДИЦИНСКОГО ПРИМЕНЕНИЯ" МИНИСТЕРСТВА ЗДРАВООХРАНЕНИЯ РОССИЙСКОЙ ФЕДЕРАЦИИ (подробнее) Ответчики: ООО "ХИМТЕХИМПОРТ" (подробнее) Судьи дела: Першутов А.Г.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