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06.03.2020 требования удовлетворены в части признания недействительными решений от 27.09.2019 № 94осс(д) и № 99/76 в оспариваемой части, в удовлетворении остальной части заявленных требований отказано. Постановлением Восемнадцатого арбитражного апелляционного суда от 21.07.2020 решение суда изменено, резолютивная часть решения суда первой инстанции изложена в иной редакции, согласно которой в удовлетворении заявленных требований отказано. Постановлением Арбитражного суда Уральского округа от 29.10.2020 постановление суда апелляционной инстанции оставлено без изменения. Предприятие просит отменить обжалуемые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Изменяя решение суда первой инстанции и отказывая в удовлетворении требования, суд апелляционной инстанции руководствовался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и исходил из установленных обстоятельств, свидетельствующих о том, что применение в отношении застрахованных лицах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3 дополнительного материального стимулирования работника, что свидетельствуют о злоупотреблении предприятием правом в целях предоставления своим сотрудникам дополнительного материального обеспечения, возмещаемого за счет средств фонда; при установленных фактических обстоятельствах страховой случай, при котором подлежит выплате пособие, не наступил, соответственно, указанные суммы, выплаченные с нарушением действующего законодательства, не могут признаваться страховым обеспечением, не подлежащим обложению страховыми взносами. Доводы жалобы по существу сводятся к несогласию заявителя с толкованием судами норм законодательства, регулирующих спорные правоотношения, применительно к установленным фактическим обстоятельствам дела, что в силу статьи 291.6 Арбитражного процессуального кодекса Российской Федерации не является основанием для пересмотра обжалуемого судебного акта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