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25.03.2020, оставленным без изменения постановлением Двадцатого арбитражного апелляционного суда от 16.06.2020, в удовлетворении заявления отказано. 2 Постановлением Арбитражного суда Центрального округа от 29.10.2020 указанные судебные акты оставлены без изменения. Административный орган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отказали в удовлетворении заявления, признав, что общество, заключив договор оказания услуг охраны в отношении объекта топливно- энергетического комплекса, не нарушило лицензионных требований. Административный орган не согласен с указанными выводами судов. Между тем,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Федерации, передача кассационной жалобы в Судебную 3 коллегию Верховного Суда Российской Федерации в любом случае не приведет к защите охраняемых законом публичных интересов.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