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28.10.2019, оставленным без изменения постановлением Тринадцатого арбитражного апелляционного суда от 14.07.2020, в иске отказано. Постановлением Арбитражного суда Северо-Западного округа от 05.11.2020 решение и постановление апелляционного суда отменены, дело направлено на новое рассмотрение в суд первой инстанции. В кассационной жалобе общество просит отменить постановление суда округа, ссылаясь на отсутствие обязательности участия в деле лица, уступившего предпринимателю требование.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отменил судебные акты по безусловному основанию (часть 4 статьи 288 Арбитражного процессуального кодекса Российской Федерации).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«Безарес»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