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05.60.2020, оставленным без изменения постановлением Девятого арбитражного апелляционного суда от 27.08.2020 и постановлением Арбитражного суда Московского округа от 03.11.2020, иск удовлетворен. В кассационной жалобе компания просит об отмене судебных актов, ссылаясь на неправильный расчет простоя вагонов и отсутствие вины в простое на выставочных путях.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связи с доводами жалобы не усматривается. 2 Довод компании о неправильном относительно фактически поставленного объема товара расчете простоя опровергнут ссылкой на установленный в деле № А68-13547/2018 объем поставленного товара. Вина в предпринимательских отношениях не является основанием ответственности (пункт 3 статьи 401 Гражданского кодекса Российской Федерации). Приведенные в жалобе доводы были предметом рассмотрения судов и получили надлежащую правовую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«Компания СКАНСИ»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