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Воронежской области с исковым заявлением к Управлению развития предпринимательства, потребительского рынка и инновационной политики администрации городского округа город Воронеж (далее - управление) о признании недействительной односторонней сделки, совершенной управлением, по расторжению договора на организацию ярмарки на территории городского округа город Воронеж № 11-Я от 16.09.2016 на основании уведомления от 14.08.2017 № 500/1-т/о; признании недействительным уведомления от 14.08.2017 № 500/1-т/о о расторжении договора на организацию ярмарки на территории городского округа город Воронеж № 11-Я от 16.09.2016; признании действующим договора № 11-Я от 16.09.2016 на организацию ярмарки на территории городского округа город Воронеж. Вступившим в законную силу определением Арбитражного суда Воронежской области от 21.06.2018 утверждено мировое соглашение, заключенное между обществом и управлением. 2 Общество обратилось в Арбитражный суд Воронежской области с заявлением о пересмотре определения от 21.06.2018 об утверждении мирового соглашения по вновь открывшимся обстоятельствам. Определением Арбитражного суда Воронежской области от 19.05.2020, оставленным без изменения постановлением Девятнадцатого арбитражного апелляционного суда от 30.07.2020 и постановлением Арбитражного суда Центрального округа от 03.11.2020, в удовлетворении заявления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судебные акты об отказе в удовлетворении заявления о пересмотре определения от 21.06.2018 по вновь открывшимся обстоятельствам и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общества, суд первой инстанции, с которым впоследствии согласились суды апелляционной инстанции и округа, руководствовался положениями статей 311, 312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приведенные заявителем обстоятельства не отвечают признакам вновь открывшихся и не являются основанием для пересмотра судебного акта по правилам, предусмотренным главой 37 Арбитражного процессуального кодекса Российской Федерации. Доводы кассационной жалобы были предметом рассмотрения судов, получили правовую оценку, не опровергают выводы судов и не подтверждают существенных нарушений судами норм права, повлиявших на исход дела.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не подлежит рассмотрению.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«Фрегат»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